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C3" w:rsidRDefault="003F73C3" w:rsidP="003F73C3">
      <w:pPr>
        <w:ind w:left="5664" w:right="-454" w:firstLine="708"/>
        <w:rPr>
          <w:b/>
          <w:i/>
        </w:rPr>
      </w:pPr>
      <w:bookmarkStart w:id="0" w:name="_GoBack"/>
      <w:bookmarkEnd w:id="0"/>
      <w:r>
        <w:rPr>
          <w:b/>
          <w:i/>
        </w:rPr>
        <w:t>KINNITATUD</w:t>
      </w:r>
    </w:p>
    <w:p w:rsidR="003F73C3" w:rsidRDefault="003F73C3" w:rsidP="003F73C3">
      <w:pPr>
        <w:ind w:left="5664" w:right="-454" w:firstLine="708"/>
        <w:rPr>
          <w:b/>
          <w:i/>
        </w:rPr>
      </w:pPr>
      <w:r>
        <w:rPr>
          <w:b/>
          <w:i/>
        </w:rPr>
        <w:t xml:space="preserve">direktori </w:t>
      </w:r>
      <w:r w:rsidR="00E4766A" w:rsidRPr="00E4766A">
        <w:rPr>
          <w:b/>
          <w:i/>
        </w:rPr>
        <w:t>02.09.2019</w:t>
      </w:r>
    </w:p>
    <w:p w:rsidR="003F73C3" w:rsidRDefault="003F73C3" w:rsidP="003F73C3">
      <w:pPr>
        <w:ind w:left="5664" w:right="-454" w:firstLine="708"/>
        <w:rPr>
          <w:b/>
          <w:i/>
        </w:rPr>
      </w:pPr>
      <w:r>
        <w:rPr>
          <w:b/>
          <w:i/>
        </w:rPr>
        <w:t>käskkirjaga nr 1-9/</w:t>
      </w:r>
      <w:r w:rsidR="00E4766A">
        <w:rPr>
          <w:b/>
          <w:i/>
        </w:rPr>
        <w:t>32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2E6B5C" w:rsidP="00E93DB0">
      <w:pPr>
        <w:rPr>
          <w:b/>
        </w:rPr>
      </w:pPr>
      <w:r>
        <w:rPr>
          <w:b/>
        </w:rPr>
        <w:t>PUIDUTÖÖTLEMISE ALUSED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2E6B5C" w:rsidRPr="006F3A98" w:rsidRDefault="002E6B5C" w:rsidP="002E6B5C">
      <w:r>
        <w:t>Materjalitöötlus (puu, paber, plast, klaas)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745FC1" w:rsidRDefault="002E6B5C" w:rsidP="00D36DD8">
      <w:pPr>
        <w:ind w:right="1350"/>
      </w:pPr>
      <w:r>
        <w:t>Kuressaare Ametikooli mööblirestauraatori õppekava.</w:t>
      </w:r>
    </w:p>
    <w:p w:rsidR="009D4ABD" w:rsidRDefault="009D4ABD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D929FC" w:rsidRDefault="0011070E" w:rsidP="00E93DB0">
      <w:r>
        <w:t xml:space="preserve">Maht: </w:t>
      </w:r>
      <w:r w:rsidR="002E6B5C">
        <w:t>292</w:t>
      </w:r>
      <w:r w:rsidR="00D929FC">
        <w:t xml:space="preserve"> </w:t>
      </w:r>
      <w:r w:rsidR="00EB2CA3">
        <w:t>akadeemilist tundi</w:t>
      </w:r>
      <w:r w:rsidR="009D4ABD">
        <w:t>.</w:t>
      </w:r>
    </w:p>
    <w:p w:rsidR="009D4ABD" w:rsidRDefault="009D4ABD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D929FC" w:rsidRDefault="00D929FC" w:rsidP="00D929FC">
      <w:r>
        <w:t xml:space="preserve">Koolituse asukoht: Kuressaare Ametikool, </w:t>
      </w:r>
      <w:r w:rsidR="002E6B5C">
        <w:t>Saaremaa vald, Upa küla, Kooli 7</w:t>
      </w:r>
    </w:p>
    <w:p w:rsidR="009F0484" w:rsidRDefault="009F0484" w:rsidP="009F0484">
      <w:r>
        <w:t>Õppeklassid ja õppetööks vajalikud ruumid võimaldavad õppekava täitmise ettenähtud tasemel.</w:t>
      </w:r>
    </w:p>
    <w:p w:rsidR="009F0484" w:rsidRDefault="009F0484" w:rsidP="009F0484">
      <w:r>
        <w:t>Õppetöökodades on väljaehitatud tsentraalne aspiratsioonisüsteem puidutööpinkidele. Vajadusel saab kasutada ka lokaalseid ventilaatoreid. Õppetöökojad on varustatud kõrvaklappidega ja kaitseprillidega. Puidutööpinkide kasutusjuhendid on olemas ja kättesaadavad õppetöökojas.</w:t>
      </w:r>
    </w:p>
    <w:p w:rsidR="00F3106F" w:rsidRDefault="00F3106F" w:rsidP="00F3106F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C431E0" w:rsidRDefault="009F0484" w:rsidP="00C431E0">
      <w:r>
        <w:rPr>
          <w:bCs/>
          <w:color w:val="000000"/>
        </w:rPr>
        <w:t>Isikud, kes soovivad rakenduda materjalitöötluse (puidutöö) valdkonnas</w:t>
      </w:r>
      <w:r>
        <w:t>.</w:t>
      </w:r>
    </w:p>
    <w:p w:rsidR="009F0484" w:rsidRDefault="009F0484" w:rsidP="00C431E0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9F0484" w:rsidRDefault="009F0484" w:rsidP="009F0484">
      <w:r w:rsidRPr="00243AF4">
        <w:t xml:space="preserve">Koolitusega taotletakse, et koolitatav </w:t>
      </w:r>
      <w:r>
        <w:t>saab</w:t>
      </w:r>
      <w:r w:rsidRPr="00243AF4">
        <w:t xml:space="preserve"> </w:t>
      </w:r>
      <w:r>
        <w:t>esmased teadmised puidutöötlemise alustest</w:t>
      </w:r>
      <w:r w:rsidRPr="00243AF4">
        <w:t xml:space="preserve">, mis võimaldab alustada tööd mööblitööstuse ja puidutöötlemise ettevõtetes teostades puidu või puidupõhiste materjalide lõiketöötlemise tööoperatsioone puidutöötlemispinkidel, oskab lugeda tööjooniseid, </w:t>
      </w:r>
      <w:r w:rsidR="00FC0D06">
        <w:t xml:space="preserve">ning </w:t>
      </w:r>
      <w:r w:rsidRPr="00243AF4">
        <w:t>suudab korraldada oma tööd</w:t>
      </w:r>
      <w:r w:rsidR="00FC0D06">
        <w:t>.</w:t>
      </w:r>
      <w:r w:rsidRPr="00243AF4">
        <w:t xml:space="preserve"> </w:t>
      </w:r>
    </w:p>
    <w:p w:rsidR="003636A8" w:rsidRPr="00165815" w:rsidRDefault="003636A8" w:rsidP="003636A8">
      <w:pPr>
        <w:pStyle w:val="Loendilik"/>
      </w:pPr>
    </w:p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DF4899" w:rsidRPr="00DF4899" w:rsidRDefault="00DF4899" w:rsidP="00DF4899">
      <w:pPr>
        <w:pStyle w:val="Loendilik"/>
        <w:numPr>
          <w:ilvl w:val="0"/>
          <w:numId w:val="12"/>
        </w:numPr>
        <w:jc w:val="both"/>
        <w:rPr>
          <w:rFonts w:cstheme="minorHAnsi"/>
          <w:szCs w:val="20"/>
        </w:rPr>
      </w:pPr>
      <w:r w:rsidRPr="00DF4899">
        <w:rPr>
          <w:rFonts w:cstheme="minorHAnsi"/>
          <w:szCs w:val="20"/>
        </w:rPr>
        <w:t xml:space="preserve">omab </w:t>
      </w:r>
      <w:r w:rsidRPr="00DF4899">
        <w:rPr>
          <w:rFonts w:cstheme="minorHAnsi"/>
          <w:spacing w:val="-1"/>
          <w:szCs w:val="20"/>
        </w:rPr>
        <w:t>teadmisi</w:t>
      </w:r>
      <w:r w:rsidRPr="00DF4899">
        <w:rPr>
          <w:rFonts w:cstheme="minorHAnsi"/>
          <w:szCs w:val="20"/>
        </w:rPr>
        <w:t xml:space="preserve"> puidu </w:t>
      </w:r>
      <w:r w:rsidRPr="00DF4899">
        <w:rPr>
          <w:rFonts w:cstheme="minorHAnsi"/>
          <w:spacing w:val="-1"/>
          <w:szCs w:val="20"/>
        </w:rPr>
        <w:t>ehitusest,</w:t>
      </w:r>
      <w:r w:rsidRPr="00DF4899">
        <w:rPr>
          <w:rFonts w:cstheme="minorHAnsi"/>
          <w:spacing w:val="29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omadustest</w:t>
      </w:r>
      <w:r w:rsidRPr="00DF4899">
        <w:rPr>
          <w:rFonts w:cstheme="minorHAnsi"/>
          <w:szCs w:val="20"/>
        </w:rPr>
        <w:t xml:space="preserve"> ning</w:t>
      </w:r>
      <w:r w:rsidRPr="00DF4899">
        <w:rPr>
          <w:rFonts w:cstheme="minorHAnsi"/>
          <w:spacing w:val="-3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puitdetailide valmistamisel</w:t>
      </w:r>
      <w:r w:rsidRPr="00DF4899">
        <w:rPr>
          <w:rFonts w:cstheme="minorHAnsi"/>
          <w:spacing w:val="39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kasutatavatest</w:t>
      </w:r>
      <w:r w:rsidRPr="00DF4899">
        <w:rPr>
          <w:rFonts w:cstheme="minorHAnsi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puiduliikidest</w:t>
      </w:r>
    </w:p>
    <w:p w:rsidR="00DF4899" w:rsidRPr="00DF4899" w:rsidRDefault="00DF4899" w:rsidP="00DF4899">
      <w:pPr>
        <w:pStyle w:val="Loendilik"/>
        <w:numPr>
          <w:ilvl w:val="0"/>
          <w:numId w:val="12"/>
        </w:numPr>
        <w:jc w:val="both"/>
        <w:rPr>
          <w:rFonts w:cstheme="minorHAnsi"/>
          <w:szCs w:val="20"/>
        </w:rPr>
      </w:pPr>
      <w:r w:rsidRPr="00DF4899">
        <w:rPr>
          <w:rFonts w:cstheme="minorHAnsi"/>
          <w:szCs w:val="20"/>
        </w:rPr>
        <w:t xml:space="preserve">tunneb puidu niiskuse, </w:t>
      </w:r>
      <w:r w:rsidRPr="00DF4899">
        <w:rPr>
          <w:rFonts w:cstheme="minorHAnsi"/>
          <w:spacing w:val="-1"/>
          <w:szCs w:val="20"/>
        </w:rPr>
        <w:t xml:space="preserve">rikete </w:t>
      </w:r>
      <w:r w:rsidRPr="00DF4899">
        <w:rPr>
          <w:rFonts w:cstheme="minorHAnsi"/>
          <w:szCs w:val="20"/>
        </w:rPr>
        <w:t>ja</w:t>
      </w:r>
      <w:r w:rsidRPr="00DF4899">
        <w:rPr>
          <w:rFonts w:cstheme="minorHAnsi"/>
          <w:spacing w:val="-1"/>
          <w:szCs w:val="20"/>
        </w:rPr>
        <w:t xml:space="preserve"> </w:t>
      </w:r>
      <w:r w:rsidRPr="00DF4899">
        <w:rPr>
          <w:rFonts w:cstheme="minorHAnsi"/>
          <w:szCs w:val="20"/>
        </w:rPr>
        <w:t>-</w:t>
      </w:r>
      <w:r w:rsidRPr="00DF4899">
        <w:rPr>
          <w:rFonts w:cstheme="minorHAnsi"/>
          <w:spacing w:val="24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kahjustuste</w:t>
      </w:r>
      <w:r w:rsidRPr="00DF4899">
        <w:rPr>
          <w:rFonts w:cstheme="minorHAnsi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olemust</w:t>
      </w:r>
      <w:r w:rsidRPr="00DF4899">
        <w:rPr>
          <w:rFonts w:cstheme="minorHAnsi"/>
          <w:szCs w:val="20"/>
        </w:rPr>
        <w:t xml:space="preserve"> ning</w:t>
      </w:r>
      <w:r w:rsidRPr="00DF4899">
        <w:rPr>
          <w:rFonts w:cstheme="minorHAnsi"/>
          <w:spacing w:val="-2"/>
          <w:szCs w:val="20"/>
        </w:rPr>
        <w:t xml:space="preserve"> </w:t>
      </w:r>
      <w:r w:rsidRPr="00DF4899">
        <w:rPr>
          <w:rFonts w:cstheme="minorHAnsi"/>
          <w:szCs w:val="20"/>
        </w:rPr>
        <w:t>mõju</w:t>
      </w:r>
      <w:r w:rsidRPr="00DF4899">
        <w:rPr>
          <w:rFonts w:cstheme="minorHAnsi"/>
          <w:spacing w:val="32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materjali</w:t>
      </w:r>
      <w:r w:rsidRPr="00DF4899">
        <w:rPr>
          <w:rFonts w:cstheme="minorHAnsi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 xml:space="preserve">kvaliteedile </w:t>
      </w:r>
      <w:r w:rsidRPr="00DF4899">
        <w:rPr>
          <w:rFonts w:cstheme="minorHAnsi"/>
          <w:szCs w:val="20"/>
        </w:rPr>
        <w:t>ja</w:t>
      </w:r>
      <w:r w:rsidRPr="00DF4899">
        <w:rPr>
          <w:rFonts w:cstheme="minorHAnsi"/>
          <w:spacing w:val="1"/>
          <w:szCs w:val="20"/>
        </w:rPr>
        <w:t xml:space="preserve"> </w:t>
      </w:r>
      <w:r w:rsidRPr="00DF4899">
        <w:rPr>
          <w:rFonts w:cstheme="minorHAnsi"/>
          <w:szCs w:val="20"/>
        </w:rPr>
        <w:t>mööbli</w:t>
      </w:r>
      <w:r w:rsidRPr="00DF4899">
        <w:rPr>
          <w:rFonts w:cstheme="minorHAnsi"/>
          <w:spacing w:val="31"/>
          <w:szCs w:val="20"/>
        </w:rPr>
        <w:t xml:space="preserve"> </w:t>
      </w:r>
      <w:r w:rsidRPr="00DF4899">
        <w:rPr>
          <w:rFonts w:cstheme="minorHAnsi"/>
          <w:szCs w:val="20"/>
        </w:rPr>
        <w:t>konstruktsioonile</w:t>
      </w:r>
    </w:p>
    <w:p w:rsidR="00DF4899" w:rsidRPr="00DF4899" w:rsidRDefault="00DF4899" w:rsidP="00DF4899">
      <w:pPr>
        <w:pStyle w:val="Loendilik"/>
        <w:numPr>
          <w:ilvl w:val="0"/>
          <w:numId w:val="12"/>
        </w:numPr>
        <w:jc w:val="both"/>
        <w:rPr>
          <w:rFonts w:cstheme="minorHAnsi"/>
          <w:szCs w:val="20"/>
        </w:rPr>
      </w:pPr>
      <w:r w:rsidRPr="00DF4899">
        <w:rPr>
          <w:rFonts w:cstheme="minorHAnsi"/>
          <w:spacing w:val="-1"/>
          <w:szCs w:val="20"/>
        </w:rPr>
        <w:lastRenderedPageBreak/>
        <w:t>kavandab</w:t>
      </w:r>
      <w:r w:rsidRPr="00DF4899">
        <w:rPr>
          <w:rFonts w:cstheme="minorHAnsi"/>
          <w:szCs w:val="20"/>
        </w:rPr>
        <w:t xml:space="preserve"> tööprotsessi, valib</w:t>
      </w:r>
      <w:r w:rsidRPr="00DF4899">
        <w:rPr>
          <w:rFonts w:cstheme="minorHAnsi"/>
          <w:spacing w:val="26"/>
          <w:szCs w:val="20"/>
        </w:rPr>
        <w:t xml:space="preserve"> </w:t>
      </w:r>
      <w:r w:rsidRPr="00DF4899">
        <w:rPr>
          <w:rFonts w:cstheme="minorHAnsi"/>
          <w:szCs w:val="20"/>
        </w:rPr>
        <w:t xml:space="preserve">sobilikud </w:t>
      </w:r>
      <w:r w:rsidRPr="00DF4899">
        <w:rPr>
          <w:rFonts w:cstheme="minorHAnsi"/>
          <w:spacing w:val="-1"/>
          <w:szCs w:val="20"/>
        </w:rPr>
        <w:t>materjalid</w:t>
      </w:r>
      <w:r w:rsidRPr="00DF4899">
        <w:rPr>
          <w:rFonts w:cstheme="minorHAnsi"/>
          <w:szCs w:val="20"/>
        </w:rPr>
        <w:t xml:space="preserve"> ja </w:t>
      </w:r>
      <w:r w:rsidRPr="00DF4899">
        <w:rPr>
          <w:rFonts w:cstheme="minorHAnsi"/>
          <w:spacing w:val="-1"/>
          <w:szCs w:val="20"/>
        </w:rPr>
        <w:t>töövahendid</w:t>
      </w:r>
      <w:r w:rsidRPr="00DF4899">
        <w:rPr>
          <w:rFonts w:cstheme="minorHAnsi"/>
          <w:spacing w:val="33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puitmaterjalide lõiketöötlemiseks</w:t>
      </w:r>
    </w:p>
    <w:p w:rsidR="00DF4899" w:rsidRPr="00DF4899" w:rsidRDefault="00DF4899" w:rsidP="00DF4899">
      <w:pPr>
        <w:pStyle w:val="Loendilik"/>
        <w:numPr>
          <w:ilvl w:val="0"/>
          <w:numId w:val="12"/>
        </w:numPr>
        <w:jc w:val="both"/>
        <w:rPr>
          <w:rFonts w:cstheme="minorHAnsi"/>
          <w:szCs w:val="20"/>
        </w:rPr>
      </w:pPr>
      <w:r w:rsidRPr="00DF4899">
        <w:rPr>
          <w:rFonts w:cstheme="minorHAnsi"/>
          <w:spacing w:val="-1"/>
          <w:szCs w:val="20"/>
        </w:rPr>
        <w:t>saeb,</w:t>
      </w:r>
      <w:r w:rsidRPr="00DF4899">
        <w:rPr>
          <w:rFonts w:cstheme="minorHAnsi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hööveldab,</w:t>
      </w:r>
      <w:r w:rsidRPr="00DF4899">
        <w:rPr>
          <w:rFonts w:cstheme="minorHAnsi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peiteldab,</w:t>
      </w:r>
      <w:r w:rsidRPr="00DF4899">
        <w:rPr>
          <w:rFonts w:cstheme="minorHAnsi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puurib,</w:t>
      </w:r>
      <w:r w:rsidRPr="00DF4899">
        <w:rPr>
          <w:rFonts w:cstheme="minorHAnsi"/>
          <w:spacing w:val="53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freesib,</w:t>
      </w:r>
      <w:r w:rsidRPr="00DF4899">
        <w:rPr>
          <w:rFonts w:cstheme="minorHAnsi"/>
          <w:szCs w:val="20"/>
        </w:rPr>
        <w:t xml:space="preserve"> treib ja</w:t>
      </w:r>
      <w:r w:rsidRPr="00DF4899">
        <w:rPr>
          <w:rFonts w:cstheme="minorHAnsi"/>
          <w:spacing w:val="-1"/>
          <w:szCs w:val="20"/>
        </w:rPr>
        <w:t xml:space="preserve"> </w:t>
      </w:r>
      <w:r w:rsidRPr="00DF4899">
        <w:rPr>
          <w:rFonts w:cstheme="minorHAnsi"/>
          <w:szCs w:val="20"/>
        </w:rPr>
        <w:t>lihvib valitud</w:t>
      </w:r>
      <w:r w:rsidRPr="00DF4899">
        <w:rPr>
          <w:rFonts w:cstheme="minorHAnsi"/>
          <w:spacing w:val="24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puitmaterjali</w:t>
      </w:r>
      <w:r w:rsidRPr="00DF4899">
        <w:rPr>
          <w:rFonts w:cstheme="minorHAnsi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kasutades</w:t>
      </w:r>
      <w:r w:rsidRPr="00DF4899">
        <w:rPr>
          <w:rFonts w:cstheme="minorHAnsi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asjakohaseid</w:t>
      </w:r>
      <w:r w:rsidRPr="00DF4899">
        <w:rPr>
          <w:rFonts w:cstheme="minorHAnsi"/>
          <w:spacing w:val="53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töövahendeid</w:t>
      </w:r>
    </w:p>
    <w:p w:rsidR="00DF4899" w:rsidRPr="00DF4899" w:rsidRDefault="00DF4899" w:rsidP="00DF4899">
      <w:pPr>
        <w:pStyle w:val="Loendilik"/>
        <w:numPr>
          <w:ilvl w:val="0"/>
          <w:numId w:val="12"/>
        </w:numPr>
        <w:jc w:val="both"/>
        <w:rPr>
          <w:rFonts w:cstheme="minorHAnsi"/>
          <w:szCs w:val="20"/>
        </w:rPr>
      </w:pPr>
      <w:r w:rsidRPr="00DF4899">
        <w:rPr>
          <w:rFonts w:cstheme="minorHAnsi"/>
          <w:szCs w:val="20"/>
        </w:rPr>
        <w:t>tunneb töökoha</w:t>
      </w:r>
      <w:r w:rsidRPr="00DF4899">
        <w:rPr>
          <w:rFonts w:cstheme="minorHAnsi"/>
          <w:spacing w:val="-1"/>
          <w:szCs w:val="20"/>
        </w:rPr>
        <w:t xml:space="preserve"> ratsionaalse,</w:t>
      </w:r>
      <w:r w:rsidRPr="00DF4899">
        <w:rPr>
          <w:rFonts w:cstheme="minorHAnsi"/>
          <w:szCs w:val="20"/>
        </w:rPr>
        <w:t xml:space="preserve"> ohutu</w:t>
      </w:r>
      <w:r w:rsidRPr="00DF4899">
        <w:rPr>
          <w:rFonts w:cstheme="minorHAnsi"/>
          <w:spacing w:val="22"/>
          <w:szCs w:val="20"/>
        </w:rPr>
        <w:t xml:space="preserve"> </w:t>
      </w:r>
      <w:r w:rsidRPr="00DF4899">
        <w:rPr>
          <w:rFonts w:cstheme="minorHAnsi"/>
          <w:szCs w:val="20"/>
        </w:rPr>
        <w:t>ja</w:t>
      </w:r>
      <w:r w:rsidRPr="00DF4899">
        <w:rPr>
          <w:rFonts w:cstheme="minorHAnsi"/>
          <w:spacing w:val="-1"/>
          <w:szCs w:val="20"/>
        </w:rPr>
        <w:t xml:space="preserve"> keskkonnasäästliku</w:t>
      </w:r>
      <w:r w:rsidRPr="00DF4899">
        <w:rPr>
          <w:rFonts w:cstheme="minorHAnsi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korraldamise</w:t>
      </w:r>
      <w:r w:rsidRPr="00DF4899">
        <w:rPr>
          <w:rFonts w:cstheme="minorHAnsi"/>
          <w:spacing w:val="53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põhimõtteid</w:t>
      </w:r>
      <w:r w:rsidRPr="00DF4899">
        <w:rPr>
          <w:rFonts w:cstheme="minorHAnsi"/>
          <w:szCs w:val="20"/>
        </w:rPr>
        <w:t xml:space="preserve"> ja</w:t>
      </w:r>
      <w:r w:rsidRPr="00DF4899">
        <w:rPr>
          <w:rFonts w:cstheme="minorHAnsi"/>
          <w:spacing w:val="-1"/>
          <w:szCs w:val="20"/>
        </w:rPr>
        <w:t xml:space="preserve"> järgib</w:t>
      </w:r>
      <w:r w:rsidRPr="00DF4899">
        <w:rPr>
          <w:rFonts w:cstheme="minorHAnsi"/>
          <w:szCs w:val="20"/>
        </w:rPr>
        <w:t xml:space="preserve"> neid </w:t>
      </w:r>
      <w:r w:rsidRPr="00DF4899">
        <w:rPr>
          <w:rFonts w:cstheme="minorHAnsi"/>
          <w:spacing w:val="-1"/>
          <w:szCs w:val="20"/>
        </w:rPr>
        <w:t>erinevate</w:t>
      </w:r>
      <w:r w:rsidRPr="00DF4899">
        <w:rPr>
          <w:rFonts w:cstheme="minorHAnsi"/>
          <w:spacing w:val="37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tööoperatsioonide</w:t>
      </w:r>
      <w:r w:rsidRPr="00DF4899">
        <w:rPr>
          <w:rFonts w:cstheme="minorHAnsi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sooritamisel</w:t>
      </w:r>
    </w:p>
    <w:p w:rsidR="00754149" w:rsidRPr="00DF4899" w:rsidRDefault="00DF4899" w:rsidP="00DF4899">
      <w:pPr>
        <w:pStyle w:val="Loendilik"/>
        <w:numPr>
          <w:ilvl w:val="0"/>
          <w:numId w:val="12"/>
        </w:numPr>
      </w:pPr>
      <w:r w:rsidRPr="00DF4899">
        <w:rPr>
          <w:rFonts w:cstheme="minorHAnsi"/>
          <w:spacing w:val="-1"/>
          <w:szCs w:val="20"/>
        </w:rPr>
        <w:t>analüüsib</w:t>
      </w:r>
      <w:r w:rsidRPr="00DF4899">
        <w:rPr>
          <w:rFonts w:cstheme="minorHAnsi"/>
          <w:szCs w:val="20"/>
        </w:rPr>
        <w:t xml:space="preserve"> koos </w:t>
      </w:r>
      <w:r w:rsidRPr="00DF4899">
        <w:rPr>
          <w:rFonts w:cstheme="minorHAnsi"/>
          <w:spacing w:val="-1"/>
          <w:szCs w:val="20"/>
        </w:rPr>
        <w:t xml:space="preserve">juhendajaga </w:t>
      </w:r>
      <w:r w:rsidRPr="00DF4899">
        <w:rPr>
          <w:rFonts w:cstheme="minorHAnsi"/>
          <w:szCs w:val="20"/>
        </w:rPr>
        <w:t>enda</w:t>
      </w:r>
      <w:r w:rsidRPr="00DF4899">
        <w:rPr>
          <w:rFonts w:cstheme="minorHAnsi"/>
          <w:spacing w:val="36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tegevust</w:t>
      </w:r>
      <w:r w:rsidRPr="00DF4899">
        <w:rPr>
          <w:rFonts w:cstheme="minorHAnsi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puitmaterjali</w:t>
      </w:r>
      <w:r w:rsidRPr="00DF4899">
        <w:rPr>
          <w:rFonts w:cstheme="minorHAnsi"/>
          <w:spacing w:val="33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lõiketöötlemisel</w:t>
      </w:r>
      <w:r w:rsidRPr="00DF4899">
        <w:rPr>
          <w:rFonts w:cstheme="minorHAnsi"/>
          <w:szCs w:val="20"/>
        </w:rPr>
        <w:t xml:space="preserve"> ja</w:t>
      </w:r>
      <w:r w:rsidRPr="00DF4899">
        <w:rPr>
          <w:rFonts w:cstheme="minorHAnsi"/>
          <w:spacing w:val="-1"/>
          <w:szCs w:val="20"/>
        </w:rPr>
        <w:t xml:space="preserve"> lihvimisel</w:t>
      </w:r>
    </w:p>
    <w:p w:rsidR="00DF4899" w:rsidRPr="00DF4899" w:rsidRDefault="00DF4899" w:rsidP="00DF4899">
      <w:pPr>
        <w:pStyle w:val="Loendilik"/>
        <w:numPr>
          <w:ilvl w:val="0"/>
          <w:numId w:val="12"/>
        </w:numPr>
        <w:jc w:val="both"/>
      </w:pPr>
      <w:r w:rsidRPr="00DF4899">
        <w:rPr>
          <w:rFonts w:cstheme="minorHAnsi"/>
          <w:spacing w:val="-1"/>
          <w:szCs w:val="20"/>
        </w:rPr>
        <w:t>oskab</w:t>
      </w:r>
      <w:r w:rsidRPr="00DF4899">
        <w:rPr>
          <w:rFonts w:cstheme="minorHAnsi"/>
          <w:szCs w:val="20"/>
        </w:rPr>
        <w:t xml:space="preserve"> üles joonistada</w:t>
      </w:r>
      <w:r w:rsidRPr="00DF4899">
        <w:rPr>
          <w:rFonts w:cstheme="minorHAnsi"/>
          <w:spacing w:val="-2"/>
          <w:szCs w:val="20"/>
        </w:rPr>
        <w:t xml:space="preserve"> </w:t>
      </w:r>
      <w:r w:rsidRPr="00DF4899">
        <w:rPr>
          <w:rFonts w:cstheme="minorHAnsi"/>
          <w:szCs w:val="20"/>
        </w:rPr>
        <w:t>ja</w:t>
      </w:r>
      <w:r w:rsidRPr="00DF4899">
        <w:rPr>
          <w:rFonts w:cstheme="minorHAnsi"/>
          <w:spacing w:val="1"/>
          <w:szCs w:val="20"/>
        </w:rPr>
        <w:t xml:space="preserve"> </w:t>
      </w:r>
      <w:r w:rsidRPr="00DF4899">
        <w:rPr>
          <w:rFonts w:cstheme="minorHAnsi"/>
          <w:szCs w:val="20"/>
        </w:rPr>
        <w:t>joonestada</w:t>
      </w:r>
      <w:r w:rsidRPr="00DF4899">
        <w:rPr>
          <w:rFonts w:cstheme="minorHAnsi"/>
          <w:spacing w:val="24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 xml:space="preserve">mööblidetaile </w:t>
      </w:r>
      <w:r w:rsidRPr="00DF4899">
        <w:rPr>
          <w:rFonts w:cstheme="minorHAnsi"/>
          <w:szCs w:val="20"/>
        </w:rPr>
        <w:t xml:space="preserve">ja </w:t>
      </w:r>
      <w:r w:rsidRPr="00DF4899">
        <w:rPr>
          <w:rFonts w:cstheme="minorHAnsi"/>
          <w:spacing w:val="-1"/>
          <w:szCs w:val="20"/>
        </w:rPr>
        <w:t xml:space="preserve">nende </w:t>
      </w:r>
      <w:r w:rsidRPr="00DF4899">
        <w:rPr>
          <w:rFonts w:cstheme="minorHAnsi"/>
          <w:szCs w:val="20"/>
        </w:rPr>
        <w:t>elemente</w:t>
      </w:r>
      <w:r w:rsidRPr="00DF4899">
        <w:rPr>
          <w:rFonts w:cstheme="minorHAnsi"/>
          <w:spacing w:val="31"/>
          <w:szCs w:val="20"/>
        </w:rPr>
        <w:t xml:space="preserve"> </w:t>
      </w:r>
      <w:r w:rsidRPr="00DF4899">
        <w:rPr>
          <w:rFonts w:cstheme="minorHAnsi"/>
          <w:spacing w:val="-1"/>
          <w:szCs w:val="20"/>
        </w:rPr>
        <w:t>natuurist</w:t>
      </w:r>
    </w:p>
    <w:p w:rsidR="00DF4899" w:rsidRPr="00DF4899" w:rsidRDefault="00DF4899" w:rsidP="00DF4899"/>
    <w:p w:rsidR="00EA69C5" w:rsidRPr="00F96BEF" w:rsidRDefault="00EA69C5" w:rsidP="00F96BEF">
      <w:pPr>
        <w:pStyle w:val="Loendilik"/>
        <w:ind w:left="1068"/>
        <w:rPr>
          <w:bCs/>
          <w:color w:val="000000"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842"/>
      </w:tblGrid>
      <w:tr w:rsidR="00B8006C" w:rsidRPr="00410CA6" w:rsidTr="00463B18">
        <w:tc>
          <w:tcPr>
            <w:tcW w:w="7225" w:type="dxa"/>
            <w:shd w:val="clear" w:color="auto" w:fill="auto"/>
          </w:tcPr>
          <w:p w:rsidR="00E26DE2" w:rsidRPr="00444580" w:rsidRDefault="00DF4899" w:rsidP="00915E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Joonestamine</w:t>
            </w:r>
          </w:p>
          <w:p w:rsidR="00DF4899" w:rsidRDefault="00DF4899" w:rsidP="00DF4899">
            <w:pPr>
              <w:widowControl w:val="0"/>
              <w:tabs>
                <w:tab w:val="left" w:pos="463"/>
              </w:tabs>
              <w:spacing w:before="1"/>
              <w:ind w:right="184"/>
              <w:jc w:val="both"/>
              <w:rPr>
                <w:rFonts w:cstheme="minorHAnsi"/>
                <w:szCs w:val="20"/>
              </w:rPr>
            </w:pPr>
            <w:r w:rsidRPr="00DF4899">
              <w:rPr>
                <w:rFonts w:cstheme="minorHAnsi"/>
                <w:szCs w:val="20"/>
              </w:rPr>
              <w:t>Joonestamise alused, joonestusvahendid ja nende valikukriteeriumid, formaadid, mõõtkavad, joonise vormistamise nõuded, joonte liigid, kujutised ja nende liigid, detaili kaks- ja kolmvaade, kohtvaated, lõiked, sõlmed, joonise mõõtmestamine</w:t>
            </w:r>
            <w:r>
              <w:rPr>
                <w:rFonts w:cstheme="minorHAnsi"/>
                <w:szCs w:val="20"/>
              </w:rPr>
              <w:t xml:space="preserve">. </w:t>
            </w:r>
            <w:r w:rsidRPr="00DF4899">
              <w:rPr>
                <w:rFonts w:cstheme="minorHAnsi"/>
                <w:szCs w:val="20"/>
              </w:rPr>
              <w:t>Jooniste klassifikatsioon, eskiis ja joonis, nende erinevus, koostejoonis, detailjoonis, konstruktsiooni joonis, mööbli ülesmõõtmise joonised</w:t>
            </w:r>
            <w:r>
              <w:rPr>
                <w:rFonts w:cstheme="minorHAnsi"/>
                <w:szCs w:val="20"/>
              </w:rPr>
              <w:t>.</w:t>
            </w:r>
          </w:p>
          <w:p w:rsidR="00DF4899" w:rsidRPr="00DF4899" w:rsidRDefault="00DF4899" w:rsidP="00DF4899">
            <w:pPr>
              <w:widowControl w:val="0"/>
              <w:tabs>
                <w:tab w:val="left" w:pos="463"/>
              </w:tabs>
              <w:spacing w:before="1"/>
              <w:ind w:right="184"/>
              <w:jc w:val="both"/>
              <w:rPr>
                <w:rFonts w:cstheme="minorHAnsi"/>
                <w:szCs w:val="20"/>
              </w:rPr>
            </w:pPr>
            <w:r w:rsidRPr="00DF4899">
              <w:rPr>
                <w:rFonts w:cstheme="minorHAnsi"/>
                <w:szCs w:val="20"/>
              </w:rPr>
              <w:t>Praktiline töö: Etteantud toote detaili/sõlme eskiisi koostamine ja tööjoonise visandamine</w:t>
            </w:r>
          </w:p>
          <w:p w:rsidR="00444580" w:rsidRPr="00410CA6" w:rsidRDefault="00444580" w:rsidP="00915E89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B8006C" w:rsidRDefault="00DF4899" w:rsidP="00133D03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9064CA">
              <w:rPr>
                <w:rFonts w:eastAsia="Calibri"/>
              </w:rPr>
              <w:t xml:space="preserve"> auditoorse töö tundi</w:t>
            </w:r>
          </w:p>
          <w:p w:rsidR="00E26DE2" w:rsidRPr="00410CA6" w:rsidRDefault="00E26DE2" w:rsidP="00E26DE2">
            <w:pPr>
              <w:rPr>
                <w:rFonts w:eastAsia="Calibri"/>
              </w:rPr>
            </w:pPr>
          </w:p>
        </w:tc>
      </w:tr>
      <w:tr w:rsidR="00B8006C" w:rsidRPr="00410CA6" w:rsidTr="00463B18">
        <w:tc>
          <w:tcPr>
            <w:tcW w:w="7225" w:type="dxa"/>
            <w:shd w:val="clear" w:color="auto" w:fill="auto"/>
          </w:tcPr>
          <w:p w:rsidR="00B8006C" w:rsidRPr="00410CA6" w:rsidRDefault="00DF4899" w:rsidP="00133D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Materjaliõpetus</w:t>
            </w:r>
          </w:p>
          <w:p w:rsidR="00DF4899" w:rsidRDefault="00DF4899" w:rsidP="00222132">
            <w:pPr>
              <w:widowControl w:val="0"/>
              <w:tabs>
                <w:tab w:val="left" w:pos="463"/>
              </w:tabs>
              <w:spacing w:line="274" w:lineRule="exact"/>
              <w:ind w:right="517"/>
              <w:rPr>
                <w:rFonts w:cstheme="minorHAnsi"/>
                <w:spacing w:val="-1"/>
                <w:szCs w:val="20"/>
              </w:rPr>
            </w:pPr>
            <w:r w:rsidRPr="006666DD">
              <w:rPr>
                <w:rFonts w:cstheme="minorHAnsi"/>
                <w:szCs w:val="20"/>
              </w:rPr>
              <w:t xml:space="preserve">Puidu </w:t>
            </w:r>
            <w:r w:rsidRPr="006666DD">
              <w:rPr>
                <w:rFonts w:cstheme="minorHAnsi"/>
                <w:spacing w:val="-1"/>
                <w:szCs w:val="20"/>
              </w:rPr>
              <w:t>liigid</w:t>
            </w:r>
            <w:r w:rsidRPr="006666DD">
              <w:rPr>
                <w:rFonts w:cstheme="minorHAnsi"/>
                <w:spacing w:val="1"/>
                <w:szCs w:val="20"/>
              </w:rPr>
              <w:t xml:space="preserve"> </w:t>
            </w:r>
            <w:r w:rsidRPr="006666DD">
              <w:rPr>
                <w:rFonts w:cstheme="minorHAnsi"/>
                <w:szCs w:val="20"/>
              </w:rPr>
              <w:t xml:space="preserve">( </w:t>
            </w:r>
            <w:r w:rsidRPr="006666DD">
              <w:rPr>
                <w:rFonts w:cstheme="minorHAnsi"/>
                <w:spacing w:val="-1"/>
                <w:szCs w:val="20"/>
              </w:rPr>
              <w:t>kuusk,</w:t>
            </w:r>
            <w:r w:rsidRPr="006666DD">
              <w:rPr>
                <w:rFonts w:cstheme="minorHAnsi"/>
                <w:szCs w:val="20"/>
              </w:rPr>
              <w:t xml:space="preserve"> </w:t>
            </w:r>
            <w:r w:rsidRPr="006666DD">
              <w:rPr>
                <w:rFonts w:cstheme="minorHAnsi"/>
                <w:spacing w:val="-1"/>
                <w:szCs w:val="20"/>
              </w:rPr>
              <w:t>mänd,</w:t>
            </w:r>
            <w:r w:rsidRPr="006666DD">
              <w:rPr>
                <w:rFonts w:cstheme="minorHAnsi"/>
                <w:szCs w:val="20"/>
              </w:rPr>
              <w:t xml:space="preserve"> </w:t>
            </w:r>
            <w:r w:rsidRPr="006666DD">
              <w:rPr>
                <w:rFonts w:cstheme="minorHAnsi"/>
                <w:spacing w:val="-1"/>
                <w:szCs w:val="20"/>
              </w:rPr>
              <w:t>kask,</w:t>
            </w:r>
            <w:r w:rsidRPr="006666DD">
              <w:rPr>
                <w:rFonts w:cstheme="minorHAnsi"/>
                <w:szCs w:val="20"/>
              </w:rPr>
              <w:t xml:space="preserve"> </w:t>
            </w:r>
            <w:r w:rsidRPr="006666DD">
              <w:rPr>
                <w:rFonts w:cstheme="minorHAnsi"/>
                <w:spacing w:val="-1"/>
                <w:szCs w:val="20"/>
              </w:rPr>
              <w:t>tamm,</w:t>
            </w:r>
            <w:r w:rsidRPr="006666DD">
              <w:rPr>
                <w:rFonts w:cstheme="minorHAnsi"/>
                <w:szCs w:val="20"/>
              </w:rPr>
              <w:t xml:space="preserve"> </w:t>
            </w:r>
            <w:r w:rsidRPr="006666DD">
              <w:rPr>
                <w:rFonts w:cstheme="minorHAnsi"/>
                <w:spacing w:val="-1"/>
                <w:szCs w:val="20"/>
              </w:rPr>
              <w:t>saar,</w:t>
            </w:r>
            <w:r w:rsidRPr="006666DD">
              <w:rPr>
                <w:rFonts w:cstheme="minorHAnsi"/>
                <w:szCs w:val="20"/>
              </w:rPr>
              <w:t xml:space="preserve"> </w:t>
            </w:r>
            <w:r w:rsidRPr="006666DD">
              <w:rPr>
                <w:rFonts w:cstheme="minorHAnsi"/>
                <w:spacing w:val="-1"/>
                <w:szCs w:val="20"/>
              </w:rPr>
              <w:t>lepp,</w:t>
            </w:r>
            <w:r w:rsidRPr="006666DD">
              <w:rPr>
                <w:rFonts w:cstheme="minorHAnsi"/>
                <w:spacing w:val="2"/>
                <w:szCs w:val="20"/>
              </w:rPr>
              <w:t xml:space="preserve"> </w:t>
            </w:r>
            <w:r w:rsidRPr="006666DD">
              <w:rPr>
                <w:rFonts w:cstheme="minorHAnsi"/>
                <w:szCs w:val="20"/>
              </w:rPr>
              <w:t>pöök,</w:t>
            </w:r>
            <w:r w:rsidRPr="006666DD">
              <w:rPr>
                <w:rFonts w:cstheme="minorHAnsi"/>
                <w:spacing w:val="1"/>
                <w:szCs w:val="20"/>
              </w:rPr>
              <w:t xml:space="preserve"> </w:t>
            </w:r>
            <w:r w:rsidRPr="006666DD">
              <w:rPr>
                <w:rFonts w:cstheme="minorHAnsi"/>
                <w:spacing w:val="-1"/>
                <w:szCs w:val="20"/>
              </w:rPr>
              <w:t>pähkel,</w:t>
            </w:r>
            <w:r w:rsidRPr="006666DD">
              <w:rPr>
                <w:rFonts w:cstheme="minorHAnsi"/>
                <w:szCs w:val="20"/>
              </w:rPr>
              <w:t xml:space="preserve"> </w:t>
            </w:r>
            <w:r w:rsidRPr="006666DD">
              <w:rPr>
                <w:rFonts w:cstheme="minorHAnsi"/>
                <w:spacing w:val="-1"/>
                <w:szCs w:val="20"/>
              </w:rPr>
              <w:t>mahagon).</w:t>
            </w:r>
            <w:r w:rsidRPr="006666DD">
              <w:rPr>
                <w:rFonts w:cstheme="minorHAnsi"/>
                <w:spacing w:val="1"/>
                <w:szCs w:val="20"/>
              </w:rPr>
              <w:t xml:space="preserve"> </w:t>
            </w:r>
            <w:r w:rsidRPr="006666DD">
              <w:rPr>
                <w:rFonts w:cstheme="minorHAnsi"/>
                <w:szCs w:val="20"/>
              </w:rPr>
              <w:t>Puidu ehitus. Puidu</w:t>
            </w:r>
            <w:r w:rsidRPr="006666DD">
              <w:rPr>
                <w:rFonts w:cstheme="minorHAnsi"/>
                <w:spacing w:val="77"/>
                <w:szCs w:val="20"/>
              </w:rPr>
              <w:t xml:space="preserve"> </w:t>
            </w:r>
            <w:r w:rsidRPr="006666DD">
              <w:rPr>
                <w:rFonts w:cstheme="minorHAnsi"/>
                <w:spacing w:val="-1"/>
                <w:szCs w:val="20"/>
              </w:rPr>
              <w:t>rikked</w:t>
            </w:r>
            <w:r w:rsidRPr="006666DD">
              <w:rPr>
                <w:rFonts w:cstheme="minorHAnsi"/>
                <w:szCs w:val="20"/>
              </w:rPr>
              <w:t xml:space="preserve"> ja </w:t>
            </w:r>
            <w:r w:rsidRPr="006666DD">
              <w:rPr>
                <w:rFonts w:cstheme="minorHAnsi"/>
                <w:spacing w:val="-1"/>
                <w:szCs w:val="20"/>
              </w:rPr>
              <w:t>omadused.</w:t>
            </w:r>
            <w:r w:rsidR="00222132">
              <w:rPr>
                <w:rFonts w:cstheme="minorHAnsi"/>
                <w:spacing w:val="-1"/>
                <w:szCs w:val="20"/>
              </w:rPr>
              <w:t xml:space="preserve"> </w:t>
            </w:r>
          </w:p>
          <w:p w:rsidR="00222132" w:rsidRPr="006666DD" w:rsidRDefault="00222132" w:rsidP="00222132">
            <w:pPr>
              <w:widowControl w:val="0"/>
              <w:tabs>
                <w:tab w:val="left" w:pos="463"/>
              </w:tabs>
              <w:spacing w:line="274" w:lineRule="exact"/>
              <w:ind w:right="517"/>
              <w:rPr>
                <w:rFonts w:cstheme="minorHAnsi"/>
                <w:szCs w:val="20"/>
              </w:rPr>
            </w:pPr>
            <w:r w:rsidRPr="00222132">
              <w:rPr>
                <w:rFonts w:cstheme="minorHAnsi"/>
                <w:szCs w:val="20"/>
              </w:rPr>
              <w:t>Probleemülesanne : Näidiste järgi puiduliikide määramine</w:t>
            </w:r>
          </w:p>
          <w:p w:rsidR="005F7721" w:rsidRPr="00410CA6" w:rsidRDefault="005F7721" w:rsidP="0072614C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3419E0" w:rsidRDefault="00DF4899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444580">
              <w:rPr>
                <w:rFonts w:eastAsia="Calibri"/>
              </w:rPr>
              <w:t xml:space="preserve"> </w:t>
            </w:r>
            <w:r w:rsidR="003419E0">
              <w:rPr>
                <w:rFonts w:eastAsia="Calibri"/>
              </w:rPr>
              <w:t>auditoorse töö tundi</w:t>
            </w:r>
          </w:p>
          <w:p w:rsidR="00B8006C" w:rsidRPr="00410CA6" w:rsidRDefault="00B8006C" w:rsidP="003419E0">
            <w:pPr>
              <w:rPr>
                <w:rFonts w:eastAsia="Calibri"/>
              </w:rPr>
            </w:pPr>
          </w:p>
        </w:tc>
      </w:tr>
      <w:tr w:rsidR="0072614C" w:rsidRPr="00410CA6" w:rsidTr="00463B18">
        <w:tc>
          <w:tcPr>
            <w:tcW w:w="7225" w:type="dxa"/>
            <w:shd w:val="clear" w:color="auto" w:fill="auto"/>
          </w:tcPr>
          <w:p w:rsidR="0072614C" w:rsidRDefault="00222132" w:rsidP="00133D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Puidu käsitöötlemine</w:t>
            </w:r>
          </w:p>
          <w:p w:rsidR="00222132" w:rsidRPr="00222132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Tööde tehnoloogiline järjekord puidu käsitsitöötlemisel.</w:t>
            </w:r>
          </w:p>
          <w:p w:rsidR="00222132" w:rsidRPr="00222132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Lõikeviisid, lõike- ja teritusnurk, lõike kvaliteeti mõjutavad tegurid.</w:t>
            </w:r>
          </w:p>
          <w:p w:rsidR="00222132" w:rsidRPr="00222132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Ergonoomilised töövõtted ja nende valiku põhimõtted.</w:t>
            </w:r>
          </w:p>
          <w:p w:rsidR="00222132" w:rsidRPr="00222132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Käsitööriistade hooldamine ja teritamine.</w:t>
            </w:r>
          </w:p>
          <w:p w:rsidR="00222132" w:rsidRPr="00222132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Märkimis- ja (nurgik; reguleeritav nurgik; tastrid; sirkel; märknõel; rööbits) ja mõõtmisvahendid (metalljoonlaud; nihik; mõõdulint).</w:t>
            </w:r>
          </w:p>
          <w:p w:rsidR="00222132" w:rsidRPr="00222132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Käsitööriistad: saed (hambatüübid); höövlid; peitlid; puurid; lihvimisvahendid.</w:t>
            </w:r>
          </w:p>
          <w:p w:rsidR="00222132" w:rsidRPr="00222132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Eskiisjoonise järgi toorikule märkimine ja mõõtmine.</w:t>
            </w:r>
          </w:p>
          <w:p w:rsidR="0072614C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Tehnoloogilise kaardi koostamine.</w:t>
            </w:r>
          </w:p>
          <w:p w:rsidR="00222132" w:rsidRPr="00222132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Praktiline töö: Etteantud juhendmaterjali põhjal elektriliste käsitööriistade seadistamine vajalikeks tööoperatsioonideks</w:t>
            </w:r>
          </w:p>
          <w:p w:rsidR="00222132" w:rsidRPr="0072614C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Praktiline töö: Puit ja puidupõhiste materjalide töötlemine vastavalt hindamiskriteeriumites märgitule</w:t>
            </w:r>
          </w:p>
        </w:tc>
        <w:tc>
          <w:tcPr>
            <w:tcW w:w="1842" w:type="dxa"/>
            <w:shd w:val="clear" w:color="auto" w:fill="auto"/>
          </w:tcPr>
          <w:p w:rsidR="0072614C" w:rsidRDefault="00222132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  <w:r w:rsidR="0072614C">
              <w:rPr>
                <w:rFonts w:eastAsia="Calibri"/>
              </w:rPr>
              <w:t xml:space="preserve"> auditoorse töö tundi</w:t>
            </w:r>
          </w:p>
        </w:tc>
      </w:tr>
      <w:tr w:rsidR="0072614C" w:rsidRPr="00410CA6" w:rsidTr="00463B18">
        <w:tc>
          <w:tcPr>
            <w:tcW w:w="7225" w:type="dxa"/>
            <w:shd w:val="clear" w:color="auto" w:fill="auto"/>
          </w:tcPr>
          <w:p w:rsidR="0072614C" w:rsidRDefault="00222132" w:rsidP="00133D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Puidu masintöötlemine</w:t>
            </w:r>
          </w:p>
          <w:p w:rsidR="00222132" w:rsidRDefault="00222132" w:rsidP="00222132">
            <w:r>
              <w:t>Elektrilised ja pneumaatilised käsitööriistad, nendele esitatavad nõuded.</w:t>
            </w:r>
          </w:p>
          <w:p w:rsidR="00222132" w:rsidRDefault="00222132" w:rsidP="00222132">
            <w:r>
              <w:t>Elektrilised käsitööriistad ja seadmed.</w:t>
            </w:r>
          </w:p>
          <w:p w:rsidR="00222132" w:rsidRDefault="00222132" w:rsidP="00222132">
            <w:r>
              <w:t>Elektriliste käsitööriistade valik, nende kasutamine ja hooldamine.</w:t>
            </w:r>
          </w:p>
          <w:p w:rsidR="0072614C" w:rsidRDefault="00222132" w:rsidP="00222132">
            <w:r>
              <w:t>Tööohutusnõuded elektrilistel käsitööriistadel töötamisel ja isikukaitsevahendid.</w:t>
            </w:r>
          </w:p>
          <w:p w:rsidR="00222132" w:rsidRPr="0072614C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 xml:space="preserve">Praktiline töö: Etteantud juhendmaterjali põhjal detailide töötlemine: soone freesimine, avade (hinge) freesimine, lukupesa freesimine, </w:t>
            </w:r>
            <w:r w:rsidRPr="00222132">
              <w:rPr>
                <w:rFonts w:eastAsia="Calibri"/>
              </w:rPr>
              <w:lastRenderedPageBreak/>
              <w:t>servade ümardamine, pindade lihvimine, plaatmaterjali saagimine joonlaua abil</w:t>
            </w:r>
          </w:p>
        </w:tc>
        <w:tc>
          <w:tcPr>
            <w:tcW w:w="1842" w:type="dxa"/>
            <w:shd w:val="clear" w:color="auto" w:fill="auto"/>
          </w:tcPr>
          <w:p w:rsidR="0072614C" w:rsidRDefault="00222132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80</w:t>
            </w:r>
            <w:r w:rsidR="007B60E8">
              <w:rPr>
                <w:rFonts w:eastAsia="Calibri"/>
              </w:rPr>
              <w:t xml:space="preserve"> auditoorse töö tundi</w:t>
            </w:r>
          </w:p>
        </w:tc>
      </w:tr>
      <w:tr w:rsidR="0072614C" w:rsidRPr="00410CA6" w:rsidTr="00463B18">
        <w:tc>
          <w:tcPr>
            <w:tcW w:w="7225" w:type="dxa"/>
            <w:shd w:val="clear" w:color="auto" w:fill="auto"/>
          </w:tcPr>
          <w:p w:rsidR="007B60E8" w:rsidRPr="00221E56" w:rsidRDefault="00222132" w:rsidP="007B60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Spoonimine</w:t>
            </w:r>
          </w:p>
          <w:p w:rsidR="00222132" w:rsidRPr="00222132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Spoonimine. Spooni koostamine. Intarsia</w:t>
            </w:r>
          </w:p>
          <w:p w:rsidR="0072614C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Pealistusmaterjalid. Töövahendid ja seadmed. Kval</w:t>
            </w:r>
            <w:r>
              <w:rPr>
                <w:rFonts w:eastAsia="Calibri"/>
              </w:rPr>
              <w:t>i</w:t>
            </w:r>
            <w:r w:rsidRPr="00222132">
              <w:rPr>
                <w:rFonts w:eastAsia="Calibri"/>
              </w:rPr>
              <w:t>teedinõuded. Pealistamisel tekkivate vigade kõrvaldamine.</w:t>
            </w:r>
          </w:p>
          <w:p w:rsidR="00222132" w:rsidRPr="007B60E8" w:rsidRDefault="00222132" w:rsidP="00222132">
            <w:pPr>
              <w:rPr>
                <w:rFonts w:eastAsia="Calibri"/>
              </w:rPr>
            </w:pPr>
            <w:r w:rsidRPr="00222132">
              <w:rPr>
                <w:rFonts w:eastAsia="Calibri"/>
              </w:rPr>
              <w:t>Praktiline töö: Spoonisärgi valmistamine</w:t>
            </w:r>
          </w:p>
        </w:tc>
        <w:tc>
          <w:tcPr>
            <w:tcW w:w="1842" w:type="dxa"/>
            <w:shd w:val="clear" w:color="auto" w:fill="auto"/>
          </w:tcPr>
          <w:p w:rsidR="0072614C" w:rsidRDefault="00222132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  <w:r w:rsidR="007B60E8">
              <w:rPr>
                <w:rFonts w:eastAsia="Calibri"/>
              </w:rPr>
              <w:t xml:space="preserve"> tundi</w:t>
            </w:r>
          </w:p>
        </w:tc>
      </w:tr>
      <w:tr w:rsidR="00B8006C" w:rsidRPr="00410CA6" w:rsidTr="00463B18">
        <w:tc>
          <w:tcPr>
            <w:tcW w:w="7225" w:type="dxa"/>
            <w:shd w:val="clear" w:color="auto" w:fill="auto"/>
          </w:tcPr>
          <w:p w:rsidR="00B8006C" w:rsidRPr="00410CA6" w:rsidRDefault="00B8006C" w:rsidP="00133D03">
            <w:pPr>
              <w:jc w:val="right"/>
              <w:rPr>
                <w:rFonts w:eastAsia="Calibri"/>
                <w:b/>
              </w:rPr>
            </w:pPr>
            <w:r w:rsidRPr="00410CA6">
              <w:rPr>
                <w:rFonts w:eastAsia="Calibri"/>
                <w:b/>
              </w:rPr>
              <w:t>TUNNID KOKKU</w:t>
            </w:r>
          </w:p>
        </w:tc>
        <w:tc>
          <w:tcPr>
            <w:tcW w:w="1842" w:type="dxa"/>
            <w:shd w:val="clear" w:color="auto" w:fill="auto"/>
          </w:tcPr>
          <w:p w:rsidR="00B8006C" w:rsidRPr="00410CA6" w:rsidRDefault="00222132" w:rsidP="00133D03">
            <w:pPr>
              <w:rPr>
                <w:rFonts w:eastAsia="Calibri"/>
              </w:rPr>
            </w:pPr>
            <w:r>
              <w:rPr>
                <w:rFonts w:eastAsia="Calibri"/>
              </w:rPr>
              <w:t>292</w:t>
            </w:r>
            <w:r w:rsidR="00EB2CA3">
              <w:rPr>
                <w:rFonts w:eastAsia="Calibri"/>
              </w:rPr>
              <w:t xml:space="preserve"> tundi</w:t>
            </w:r>
          </w:p>
        </w:tc>
      </w:tr>
    </w:tbl>
    <w:p w:rsidR="00D15FBB" w:rsidRDefault="00D15FBB" w:rsidP="00D15FBB">
      <w:pPr>
        <w:pStyle w:val="Loendilik"/>
        <w:ind w:left="0"/>
      </w:pPr>
    </w:p>
    <w:p w:rsidR="00E93DB0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C95A13" w:rsidRPr="00126641" w:rsidRDefault="00C95A13" w:rsidP="00126641">
      <w:pPr>
        <w:rPr>
          <w:b/>
        </w:rPr>
      </w:pPr>
    </w:p>
    <w:p w:rsidR="00F33D9B" w:rsidRDefault="00F40ADA" w:rsidP="00F33D9B">
      <w:r w:rsidRPr="00F40ADA">
        <w:t xml:space="preserve">Loeng, töölehtede täitmine, </w:t>
      </w:r>
      <w:r w:rsidR="00F33D9B">
        <w:t xml:space="preserve">vestlus, arutelu, analüüsid, grupitöö,  </w:t>
      </w:r>
      <w:r w:rsidR="00222132">
        <w:t>praktiliste tööde sooritamine</w:t>
      </w:r>
      <w:r w:rsidR="00F33D9B">
        <w:t xml:space="preserve"> </w:t>
      </w:r>
    </w:p>
    <w:p w:rsidR="00F40ADA" w:rsidRDefault="00F40ADA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F33D9B" w:rsidRPr="00222132" w:rsidRDefault="00F33D9B" w:rsidP="00F33D9B">
      <w:pPr>
        <w:rPr>
          <w:bCs/>
          <w:kern w:val="32"/>
        </w:rPr>
      </w:pPr>
      <w:r w:rsidRPr="00222132">
        <w:rPr>
          <w:bCs/>
          <w:kern w:val="32"/>
        </w:rPr>
        <w:t xml:space="preserve">Koolitatavale jääb konspekt ja jaotusmaterjal. </w:t>
      </w:r>
    </w:p>
    <w:p w:rsidR="00222132" w:rsidRPr="00222132" w:rsidRDefault="00222132" w:rsidP="00222132">
      <w:r w:rsidRPr="00222132">
        <w:t>Õpetaja enda kogutud ja koostatud õppematerjalid</w:t>
      </w:r>
    </w:p>
    <w:p w:rsidR="00222132" w:rsidRPr="00222132" w:rsidRDefault="00222132" w:rsidP="00222132">
      <w:r w:rsidRPr="00222132">
        <w:t>Day, D., Jackson, A. Puutöömeistri käsiraamat. Tallinn: Ehitame kirjastus, 2006</w:t>
      </w:r>
    </w:p>
    <w:p w:rsidR="00222132" w:rsidRPr="00222132" w:rsidRDefault="00222132" w:rsidP="00222132">
      <w:r w:rsidRPr="00222132">
        <w:t>Guidice, A. Puutöö A ja O. Tallinn: TEA kirjastus, 2005.</w:t>
      </w:r>
    </w:p>
    <w:p w:rsidR="00222132" w:rsidRPr="00222132" w:rsidRDefault="00222132" w:rsidP="00222132">
      <w:r w:rsidRPr="00222132">
        <w:t>Noll, T. Puitühenduste piibel. Täielik seotiste ja tappide käsiraamat. Tallinn: Sinisukk, 2007.</w:t>
      </w:r>
    </w:p>
    <w:p w:rsidR="00F33D9B" w:rsidRPr="00222132" w:rsidRDefault="00222132" w:rsidP="00222132">
      <w:r w:rsidRPr="00222132">
        <w:t>Veski, A.(1962). Laudsepa ja mööbelsepa käsiraamat. Tallinn: Eesti Riiklik Kirjastus</w:t>
      </w:r>
    </w:p>
    <w:p w:rsidR="00222132" w:rsidRDefault="00222132" w:rsidP="00222132">
      <w:pPr>
        <w:rPr>
          <w:bCs/>
          <w:kern w:val="32"/>
        </w:rPr>
      </w:pPr>
    </w:p>
    <w:p w:rsidR="00F10FEB" w:rsidRPr="00F10FEB" w:rsidRDefault="00F10FEB" w:rsidP="00C95A13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D15FBB" w:rsidRDefault="00D15FBB" w:rsidP="00D15FBB">
      <w:pPr>
        <w:rPr>
          <w:bCs/>
          <w:color w:val="000000"/>
          <w:spacing w:val="-1"/>
        </w:rPr>
      </w:pPr>
      <w:r w:rsidRPr="00D15FBB">
        <w:rPr>
          <w:bCs/>
          <w:color w:val="000000"/>
          <w:spacing w:val="-1"/>
        </w:rPr>
        <w:t>Õppekava on läbitud vähemalt 80% ulatuses ja õpiväljund</w:t>
      </w:r>
      <w:r w:rsidR="00F40ADA">
        <w:rPr>
          <w:bCs/>
          <w:color w:val="000000"/>
          <w:spacing w:val="-1"/>
        </w:rPr>
        <w:t>id</w:t>
      </w:r>
      <w:r w:rsidRPr="00D15FBB">
        <w:rPr>
          <w:bCs/>
          <w:color w:val="000000"/>
          <w:spacing w:val="-1"/>
        </w:rPr>
        <w:t xml:space="preserve"> saavutatud.</w:t>
      </w:r>
    </w:p>
    <w:p w:rsidR="00EB3EEA" w:rsidRDefault="00EB3EEA" w:rsidP="00D15FBB">
      <w:pPr>
        <w:rPr>
          <w:bCs/>
          <w:color w:val="000000"/>
          <w:spacing w:val="-1"/>
        </w:rPr>
      </w:pPr>
      <w:r w:rsidRPr="00EB3EEA">
        <w:rPr>
          <w:bCs/>
          <w:color w:val="000000"/>
          <w:spacing w:val="-1"/>
        </w:rPr>
        <w:t xml:space="preserve">Õpiväljundi saavutamist hinnatakse probleemülesande, </w:t>
      </w:r>
      <w:r>
        <w:rPr>
          <w:bCs/>
          <w:color w:val="000000"/>
          <w:spacing w:val="-1"/>
        </w:rPr>
        <w:t xml:space="preserve">ja </w:t>
      </w:r>
      <w:r w:rsidRPr="00EB3EEA">
        <w:rPr>
          <w:bCs/>
          <w:color w:val="000000"/>
          <w:spacing w:val="-1"/>
        </w:rPr>
        <w:t xml:space="preserve"> praktilis</w:t>
      </w:r>
      <w:r>
        <w:rPr>
          <w:bCs/>
          <w:color w:val="000000"/>
          <w:spacing w:val="-1"/>
        </w:rPr>
        <w:t>te</w:t>
      </w:r>
      <w:r w:rsidRPr="00EB3EEA">
        <w:rPr>
          <w:bCs/>
          <w:color w:val="000000"/>
          <w:spacing w:val="-1"/>
        </w:rPr>
        <w:t>e töö</w:t>
      </w:r>
      <w:r>
        <w:rPr>
          <w:bCs/>
          <w:color w:val="000000"/>
          <w:spacing w:val="-1"/>
        </w:rPr>
        <w:t>de</w:t>
      </w:r>
      <w:r w:rsidRPr="00EB3EEA">
        <w:rPr>
          <w:bCs/>
          <w:color w:val="000000"/>
          <w:spacing w:val="-1"/>
        </w:rPr>
        <w:t xml:space="preserve"> </w:t>
      </w:r>
    </w:p>
    <w:p w:rsidR="00EB3EEA" w:rsidRDefault="00EB3EEA" w:rsidP="00D15FBB">
      <w:pPr>
        <w:rPr>
          <w:bCs/>
          <w:color w:val="000000"/>
          <w:spacing w:val="-1"/>
        </w:rPr>
      </w:pPr>
      <w:r w:rsidRPr="00EB3EEA">
        <w:rPr>
          <w:bCs/>
          <w:color w:val="000000"/>
          <w:spacing w:val="-1"/>
        </w:rPr>
        <w:t>sooritamisega.</w:t>
      </w:r>
    </w:p>
    <w:p w:rsidR="00EB3EEA" w:rsidRDefault="00EB3EEA" w:rsidP="00D15FBB">
      <w:pPr>
        <w:rPr>
          <w:bCs/>
          <w:color w:val="000000"/>
          <w:spacing w:val="-1"/>
        </w:rPr>
      </w:pPr>
    </w:p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EB3EEA" w:rsidRPr="00EB3EEA" w:rsidRDefault="00EB3EEA" w:rsidP="00EB3EEA">
      <w:pPr>
        <w:rPr>
          <w:b/>
        </w:rPr>
      </w:pPr>
      <w:r w:rsidRPr="00EB3EEA">
        <w:rPr>
          <w:b/>
        </w:rPr>
        <w:t xml:space="preserve">Tõnis Oja, </w:t>
      </w:r>
      <w:hyperlink r:id="rId6" w:history="1">
        <w:r w:rsidRPr="00EB3EEA">
          <w:rPr>
            <w:b/>
            <w:color w:val="0000FF"/>
            <w:u w:val="single"/>
          </w:rPr>
          <w:t>tonis.oja@ametikool.ee</w:t>
        </w:r>
      </w:hyperlink>
      <w:r w:rsidRPr="00EB3EEA">
        <w:rPr>
          <w:b/>
        </w:rPr>
        <w:t xml:space="preserve">  </w:t>
      </w:r>
    </w:p>
    <w:p w:rsidR="00EB3EEA" w:rsidRPr="00EB3EEA" w:rsidRDefault="00EB3EEA" w:rsidP="00EB3EEA">
      <w:r w:rsidRPr="00EB3EEA">
        <w:t>Võru Tööstustehnikum – mööblitööstus - 1980</w:t>
      </w:r>
    </w:p>
    <w:p w:rsidR="00EB3EEA" w:rsidRPr="00EB3EEA" w:rsidRDefault="00EB3EEA" w:rsidP="00EB3EEA">
      <w:r w:rsidRPr="00EB3EEA">
        <w:t xml:space="preserve">Kuressaare Ametikooli puiduvaldkonna kutseõpetaja alates 08.03.1999 </w:t>
      </w:r>
    </w:p>
    <w:p w:rsidR="00EB3EEA" w:rsidRPr="00EB3EEA" w:rsidRDefault="00EB3EEA" w:rsidP="00EB3EEA">
      <w:pPr>
        <w:rPr>
          <w:b/>
        </w:rPr>
      </w:pPr>
      <w:r w:rsidRPr="00EB3EEA">
        <w:rPr>
          <w:b/>
        </w:rPr>
        <w:t xml:space="preserve">Jüri Vaga, </w:t>
      </w:r>
      <w:hyperlink r:id="rId7" w:history="1">
        <w:r w:rsidRPr="00EB3EEA">
          <w:rPr>
            <w:b/>
            <w:color w:val="0000FF"/>
            <w:u w:val="single"/>
          </w:rPr>
          <w:t>juri.vaga@ametikool.ee</w:t>
        </w:r>
      </w:hyperlink>
      <w:r w:rsidRPr="00EB3EEA">
        <w:rPr>
          <w:b/>
        </w:rPr>
        <w:t xml:space="preserve">  </w:t>
      </w:r>
    </w:p>
    <w:p w:rsidR="00EB3EEA" w:rsidRPr="00EB3EEA" w:rsidRDefault="00EB3EEA" w:rsidP="00EB3EEA">
      <w:r w:rsidRPr="00EB3EEA">
        <w:t>Tallinna Linnakutsekool nr 12 – mööblitisler - 1968</w:t>
      </w:r>
    </w:p>
    <w:p w:rsidR="00EB3EEA" w:rsidRPr="00EB3EEA" w:rsidRDefault="00EB3EEA" w:rsidP="00EB3EEA">
      <w:r w:rsidRPr="00EB3EEA">
        <w:t xml:space="preserve">Kuressaare Ametikooli ehituspuutöö kutseõpetaja alates 01.09.2009 </w:t>
      </w:r>
    </w:p>
    <w:p w:rsidR="00EB3EEA" w:rsidRPr="00EB3EEA" w:rsidRDefault="00EB3EEA" w:rsidP="00EB3EEA">
      <w:pPr>
        <w:rPr>
          <w:b/>
        </w:rPr>
      </w:pPr>
      <w:r w:rsidRPr="00EB3EEA">
        <w:rPr>
          <w:b/>
        </w:rPr>
        <w:t xml:space="preserve">Urve Pulk, </w:t>
      </w:r>
      <w:hyperlink r:id="rId8" w:history="1">
        <w:r w:rsidRPr="00EB3EEA">
          <w:rPr>
            <w:b/>
            <w:color w:val="0000FF"/>
            <w:u w:val="single"/>
          </w:rPr>
          <w:t>urve.pulk@ametikool.ee</w:t>
        </w:r>
      </w:hyperlink>
      <w:r w:rsidRPr="00EB3EEA">
        <w:rPr>
          <w:b/>
        </w:rPr>
        <w:t xml:space="preserve"> </w:t>
      </w:r>
    </w:p>
    <w:p w:rsidR="00EB3EEA" w:rsidRPr="00EB3EEA" w:rsidRDefault="00EB3EEA" w:rsidP="00EB3EEA">
      <w:r w:rsidRPr="00EB3EEA">
        <w:t>ENSV Riiklik Kunstiinstituut – arhitektuur – 1988</w:t>
      </w:r>
    </w:p>
    <w:p w:rsidR="00EB3EEA" w:rsidRPr="00EB3EEA" w:rsidRDefault="00EB3EEA" w:rsidP="00EB3EEA">
      <w:r w:rsidRPr="00EB3EEA">
        <w:t>Kuressaare Ametikooli joonestamise õpetaja alates 03.09.2001</w:t>
      </w:r>
    </w:p>
    <w:p w:rsidR="00B71919" w:rsidRDefault="00B71919" w:rsidP="00E93DB0">
      <w:pPr>
        <w:rPr>
          <w:b/>
        </w:rPr>
      </w:pPr>
    </w:p>
    <w:sectPr w:rsidR="00B71919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BB9"/>
    <w:multiLevelType w:val="hybridMultilevel"/>
    <w:tmpl w:val="F3824EC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869"/>
    <w:multiLevelType w:val="hybridMultilevel"/>
    <w:tmpl w:val="324E323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8FF09B3"/>
    <w:multiLevelType w:val="hybridMultilevel"/>
    <w:tmpl w:val="938CD7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336CD"/>
    <w:multiLevelType w:val="hybridMultilevel"/>
    <w:tmpl w:val="4802DC1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BC6A33"/>
    <w:multiLevelType w:val="hybridMultilevel"/>
    <w:tmpl w:val="D85028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C09"/>
    <w:multiLevelType w:val="hybridMultilevel"/>
    <w:tmpl w:val="EA648F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826"/>
    <w:multiLevelType w:val="hybridMultilevel"/>
    <w:tmpl w:val="3D5A1A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4CB5"/>
    <w:multiLevelType w:val="hybridMultilevel"/>
    <w:tmpl w:val="196A5342"/>
    <w:lvl w:ilvl="0" w:tplc="94C82E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C4C00"/>
    <w:multiLevelType w:val="hybridMultilevel"/>
    <w:tmpl w:val="BDC4AEF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DE68F7"/>
    <w:multiLevelType w:val="hybridMultilevel"/>
    <w:tmpl w:val="2BA8548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44856"/>
    <w:multiLevelType w:val="hybridMultilevel"/>
    <w:tmpl w:val="8D72D40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C26A0"/>
    <w:multiLevelType w:val="hybridMultilevel"/>
    <w:tmpl w:val="85CC5B28"/>
    <w:lvl w:ilvl="0" w:tplc="F44812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6472C"/>
    <w:multiLevelType w:val="hybridMultilevel"/>
    <w:tmpl w:val="433809C4"/>
    <w:lvl w:ilvl="0" w:tplc="C972A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D2036"/>
    <w:multiLevelType w:val="hybridMultilevel"/>
    <w:tmpl w:val="B62EA8A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109AA"/>
    <w:rsid w:val="000142DC"/>
    <w:rsid w:val="00017D97"/>
    <w:rsid w:val="000313CE"/>
    <w:rsid w:val="00032BF6"/>
    <w:rsid w:val="000406F7"/>
    <w:rsid w:val="00063933"/>
    <w:rsid w:val="000670B7"/>
    <w:rsid w:val="00071B27"/>
    <w:rsid w:val="000747A8"/>
    <w:rsid w:val="00074D87"/>
    <w:rsid w:val="00086416"/>
    <w:rsid w:val="000926BB"/>
    <w:rsid w:val="000B1E61"/>
    <w:rsid w:val="000B3C8A"/>
    <w:rsid w:val="000B485B"/>
    <w:rsid w:val="000C7686"/>
    <w:rsid w:val="000E0B51"/>
    <w:rsid w:val="000F5B76"/>
    <w:rsid w:val="00100AAC"/>
    <w:rsid w:val="0011070E"/>
    <w:rsid w:val="00116C25"/>
    <w:rsid w:val="00117B74"/>
    <w:rsid w:val="00122BE6"/>
    <w:rsid w:val="00126641"/>
    <w:rsid w:val="0012718B"/>
    <w:rsid w:val="00154F09"/>
    <w:rsid w:val="00155504"/>
    <w:rsid w:val="00165815"/>
    <w:rsid w:val="0018030F"/>
    <w:rsid w:val="0019074A"/>
    <w:rsid w:val="001B45E8"/>
    <w:rsid w:val="001C4978"/>
    <w:rsid w:val="001C52E8"/>
    <w:rsid w:val="001E6054"/>
    <w:rsid w:val="001F7993"/>
    <w:rsid w:val="002015C7"/>
    <w:rsid w:val="002212EF"/>
    <w:rsid w:val="00221E56"/>
    <w:rsid w:val="00222132"/>
    <w:rsid w:val="002454A3"/>
    <w:rsid w:val="00251D8B"/>
    <w:rsid w:val="0025254B"/>
    <w:rsid w:val="00275376"/>
    <w:rsid w:val="00290059"/>
    <w:rsid w:val="002A082D"/>
    <w:rsid w:val="002A3430"/>
    <w:rsid w:val="002A7577"/>
    <w:rsid w:val="002B29C1"/>
    <w:rsid w:val="002B63F9"/>
    <w:rsid w:val="002D2165"/>
    <w:rsid w:val="002E2965"/>
    <w:rsid w:val="002E6B5C"/>
    <w:rsid w:val="002F5669"/>
    <w:rsid w:val="002F6C4B"/>
    <w:rsid w:val="002F6CC5"/>
    <w:rsid w:val="00311F24"/>
    <w:rsid w:val="003232F9"/>
    <w:rsid w:val="00323546"/>
    <w:rsid w:val="00335B17"/>
    <w:rsid w:val="003419E0"/>
    <w:rsid w:val="0034356F"/>
    <w:rsid w:val="003477E8"/>
    <w:rsid w:val="003517CC"/>
    <w:rsid w:val="00351B7A"/>
    <w:rsid w:val="00351FC6"/>
    <w:rsid w:val="003636A8"/>
    <w:rsid w:val="003B48BD"/>
    <w:rsid w:val="003C50FF"/>
    <w:rsid w:val="003D42EC"/>
    <w:rsid w:val="003F33C7"/>
    <w:rsid w:val="003F73C3"/>
    <w:rsid w:val="00411E65"/>
    <w:rsid w:val="00420F11"/>
    <w:rsid w:val="00444580"/>
    <w:rsid w:val="00461ABD"/>
    <w:rsid w:val="00463B18"/>
    <w:rsid w:val="00464075"/>
    <w:rsid w:val="00465311"/>
    <w:rsid w:val="004A44C5"/>
    <w:rsid w:val="004A7C9D"/>
    <w:rsid w:val="004B1471"/>
    <w:rsid w:val="004F7907"/>
    <w:rsid w:val="00516297"/>
    <w:rsid w:val="005246D9"/>
    <w:rsid w:val="005339F9"/>
    <w:rsid w:val="005368BD"/>
    <w:rsid w:val="0053799F"/>
    <w:rsid w:val="00545954"/>
    <w:rsid w:val="005518EF"/>
    <w:rsid w:val="00551DFE"/>
    <w:rsid w:val="00565134"/>
    <w:rsid w:val="00574032"/>
    <w:rsid w:val="00591161"/>
    <w:rsid w:val="005A3C16"/>
    <w:rsid w:val="005E21D1"/>
    <w:rsid w:val="005E708B"/>
    <w:rsid w:val="005F2793"/>
    <w:rsid w:val="005F2994"/>
    <w:rsid w:val="005F2AE9"/>
    <w:rsid w:val="005F7721"/>
    <w:rsid w:val="006008CA"/>
    <w:rsid w:val="00600D62"/>
    <w:rsid w:val="0061339C"/>
    <w:rsid w:val="0064542A"/>
    <w:rsid w:val="0067451F"/>
    <w:rsid w:val="006872E0"/>
    <w:rsid w:val="00687DC8"/>
    <w:rsid w:val="006B0DD7"/>
    <w:rsid w:val="006E0353"/>
    <w:rsid w:val="006E25E0"/>
    <w:rsid w:val="006E3EF3"/>
    <w:rsid w:val="006F021B"/>
    <w:rsid w:val="007017FE"/>
    <w:rsid w:val="0071154D"/>
    <w:rsid w:val="0072614C"/>
    <w:rsid w:val="007302C6"/>
    <w:rsid w:val="0074257C"/>
    <w:rsid w:val="00745651"/>
    <w:rsid w:val="00745E82"/>
    <w:rsid w:val="00745FC1"/>
    <w:rsid w:val="0075222D"/>
    <w:rsid w:val="00754149"/>
    <w:rsid w:val="00760801"/>
    <w:rsid w:val="00775385"/>
    <w:rsid w:val="00781BF8"/>
    <w:rsid w:val="00786621"/>
    <w:rsid w:val="00792E39"/>
    <w:rsid w:val="00793B30"/>
    <w:rsid w:val="007A6196"/>
    <w:rsid w:val="007A7AA8"/>
    <w:rsid w:val="007B60E8"/>
    <w:rsid w:val="007C5893"/>
    <w:rsid w:val="007C5F53"/>
    <w:rsid w:val="007F11E0"/>
    <w:rsid w:val="00802B0B"/>
    <w:rsid w:val="00820BBE"/>
    <w:rsid w:val="0082678F"/>
    <w:rsid w:val="008301AD"/>
    <w:rsid w:val="008303AF"/>
    <w:rsid w:val="008417E9"/>
    <w:rsid w:val="00855EB2"/>
    <w:rsid w:val="00864471"/>
    <w:rsid w:val="008736A9"/>
    <w:rsid w:val="008B1377"/>
    <w:rsid w:val="008D08ED"/>
    <w:rsid w:val="008D7EE0"/>
    <w:rsid w:val="008E0656"/>
    <w:rsid w:val="008F3A12"/>
    <w:rsid w:val="008F41E4"/>
    <w:rsid w:val="008F7541"/>
    <w:rsid w:val="009064CA"/>
    <w:rsid w:val="00915E89"/>
    <w:rsid w:val="00922960"/>
    <w:rsid w:val="00922E71"/>
    <w:rsid w:val="0092367F"/>
    <w:rsid w:val="009309B2"/>
    <w:rsid w:val="00930CA2"/>
    <w:rsid w:val="009400D3"/>
    <w:rsid w:val="00943FAC"/>
    <w:rsid w:val="00944F30"/>
    <w:rsid w:val="00956CFD"/>
    <w:rsid w:val="00972DAA"/>
    <w:rsid w:val="00977E94"/>
    <w:rsid w:val="00990F69"/>
    <w:rsid w:val="00996815"/>
    <w:rsid w:val="009C030E"/>
    <w:rsid w:val="009C0E12"/>
    <w:rsid w:val="009C189F"/>
    <w:rsid w:val="009C2A35"/>
    <w:rsid w:val="009D4ABD"/>
    <w:rsid w:val="009F0484"/>
    <w:rsid w:val="009F0C71"/>
    <w:rsid w:val="009F3FBD"/>
    <w:rsid w:val="00A00814"/>
    <w:rsid w:val="00A23D6E"/>
    <w:rsid w:val="00A266C2"/>
    <w:rsid w:val="00A33ED2"/>
    <w:rsid w:val="00A367D0"/>
    <w:rsid w:val="00A5286D"/>
    <w:rsid w:val="00A65F0D"/>
    <w:rsid w:val="00A72F17"/>
    <w:rsid w:val="00A73848"/>
    <w:rsid w:val="00A9064D"/>
    <w:rsid w:val="00AA6DCD"/>
    <w:rsid w:val="00AB07B4"/>
    <w:rsid w:val="00AB281C"/>
    <w:rsid w:val="00AC0A17"/>
    <w:rsid w:val="00AD074A"/>
    <w:rsid w:val="00AD1179"/>
    <w:rsid w:val="00AE257B"/>
    <w:rsid w:val="00B05F57"/>
    <w:rsid w:val="00B50EA4"/>
    <w:rsid w:val="00B5541A"/>
    <w:rsid w:val="00B561FF"/>
    <w:rsid w:val="00B61928"/>
    <w:rsid w:val="00B652FB"/>
    <w:rsid w:val="00B71919"/>
    <w:rsid w:val="00B8006C"/>
    <w:rsid w:val="00B9670C"/>
    <w:rsid w:val="00BA4EFC"/>
    <w:rsid w:val="00BB314D"/>
    <w:rsid w:val="00BB6A7B"/>
    <w:rsid w:val="00BC796E"/>
    <w:rsid w:val="00BD43CA"/>
    <w:rsid w:val="00C154E6"/>
    <w:rsid w:val="00C431E0"/>
    <w:rsid w:val="00C834C7"/>
    <w:rsid w:val="00C95A13"/>
    <w:rsid w:val="00C9636F"/>
    <w:rsid w:val="00CB7087"/>
    <w:rsid w:val="00CC0383"/>
    <w:rsid w:val="00CC1099"/>
    <w:rsid w:val="00CD6D8E"/>
    <w:rsid w:val="00CE02A7"/>
    <w:rsid w:val="00D11EAB"/>
    <w:rsid w:val="00D15E46"/>
    <w:rsid w:val="00D15FBB"/>
    <w:rsid w:val="00D36A71"/>
    <w:rsid w:val="00D36DD8"/>
    <w:rsid w:val="00D50115"/>
    <w:rsid w:val="00D5187E"/>
    <w:rsid w:val="00D60CAC"/>
    <w:rsid w:val="00D723D0"/>
    <w:rsid w:val="00D766A3"/>
    <w:rsid w:val="00D841E2"/>
    <w:rsid w:val="00D92829"/>
    <w:rsid w:val="00D929FC"/>
    <w:rsid w:val="00D9456F"/>
    <w:rsid w:val="00DB4EB2"/>
    <w:rsid w:val="00DB6334"/>
    <w:rsid w:val="00DC4D7B"/>
    <w:rsid w:val="00DD3F0A"/>
    <w:rsid w:val="00DD44AE"/>
    <w:rsid w:val="00DF2AFA"/>
    <w:rsid w:val="00DF4899"/>
    <w:rsid w:val="00DF61A3"/>
    <w:rsid w:val="00E029EB"/>
    <w:rsid w:val="00E057DF"/>
    <w:rsid w:val="00E12E1B"/>
    <w:rsid w:val="00E169FE"/>
    <w:rsid w:val="00E26DE2"/>
    <w:rsid w:val="00E33095"/>
    <w:rsid w:val="00E36377"/>
    <w:rsid w:val="00E41515"/>
    <w:rsid w:val="00E42DEF"/>
    <w:rsid w:val="00E4766A"/>
    <w:rsid w:val="00E65079"/>
    <w:rsid w:val="00E671DA"/>
    <w:rsid w:val="00E774A2"/>
    <w:rsid w:val="00E91388"/>
    <w:rsid w:val="00E91FAD"/>
    <w:rsid w:val="00E93DB0"/>
    <w:rsid w:val="00EA427D"/>
    <w:rsid w:val="00EA69C5"/>
    <w:rsid w:val="00EA72DC"/>
    <w:rsid w:val="00EB0B92"/>
    <w:rsid w:val="00EB0FC4"/>
    <w:rsid w:val="00EB2CA3"/>
    <w:rsid w:val="00EB3EEA"/>
    <w:rsid w:val="00EC1CF1"/>
    <w:rsid w:val="00EC20ED"/>
    <w:rsid w:val="00ED1679"/>
    <w:rsid w:val="00ED1FE8"/>
    <w:rsid w:val="00EF12FA"/>
    <w:rsid w:val="00F064BC"/>
    <w:rsid w:val="00F0755C"/>
    <w:rsid w:val="00F10FEB"/>
    <w:rsid w:val="00F17854"/>
    <w:rsid w:val="00F224A2"/>
    <w:rsid w:val="00F26441"/>
    <w:rsid w:val="00F3106F"/>
    <w:rsid w:val="00F33D9B"/>
    <w:rsid w:val="00F40ADA"/>
    <w:rsid w:val="00F60B34"/>
    <w:rsid w:val="00F63285"/>
    <w:rsid w:val="00F671A2"/>
    <w:rsid w:val="00F70A22"/>
    <w:rsid w:val="00F944CC"/>
    <w:rsid w:val="00F96BEF"/>
    <w:rsid w:val="00FC0BA3"/>
    <w:rsid w:val="00FC0C20"/>
    <w:rsid w:val="00FC0D06"/>
    <w:rsid w:val="00FC4CE2"/>
    <w:rsid w:val="00FD1021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1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92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F33D9B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F33D9B"/>
    <w:pPr>
      <w:spacing w:before="100" w:beforeAutospacing="1" w:after="100" w:afterAutospacing="1"/>
    </w:pPr>
    <w:rPr>
      <w:color w:val="00000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ve.pulk@ametikool.ee" TargetMode="External"/><Relationship Id="rId3" Type="http://schemas.openxmlformats.org/officeDocument/2006/relationships/styles" Target="styles.xml"/><Relationship Id="rId7" Type="http://schemas.openxmlformats.org/officeDocument/2006/relationships/hyperlink" Target="mailto:juri.vaga@ametikool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is.oja@ametikool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6BFF-A88C-4AD0-AD48-4768BF2F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2</cp:revision>
  <cp:lastPrinted>2016-02-19T12:11:00Z</cp:lastPrinted>
  <dcterms:created xsi:type="dcterms:W3CDTF">2019-09-03T12:02:00Z</dcterms:created>
  <dcterms:modified xsi:type="dcterms:W3CDTF">2019-09-03T12:02:00Z</dcterms:modified>
</cp:coreProperties>
</file>